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A5" w:rsidRPr="00B86C9F" w:rsidRDefault="001A692B" w:rsidP="00915BA5">
      <w:pPr>
        <w:pStyle w:val="2"/>
        <w:tabs>
          <w:tab w:val="left" w:pos="5820"/>
        </w:tabs>
        <w:jc w:val="center"/>
        <w:rPr>
          <w:b w:val="0"/>
          <w:sz w:val="28"/>
          <w:szCs w:val="28"/>
        </w:rPr>
      </w:pPr>
      <w:r w:rsidRPr="00B86C9F">
        <w:rPr>
          <w:b w:val="0"/>
          <w:sz w:val="28"/>
          <w:szCs w:val="28"/>
        </w:rPr>
        <w:t>УПРАВЛЕНИЕ ОБРАЗОВАНИЯ АДМИНИСТРАЦИИ</w:t>
      </w:r>
    </w:p>
    <w:p w:rsidR="001A692B" w:rsidRPr="00B86C9F" w:rsidRDefault="001A692B" w:rsidP="001A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C9F">
        <w:rPr>
          <w:rFonts w:ascii="Times New Roman" w:hAnsi="Times New Roman" w:cs="Times New Roman"/>
          <w:sz w:val="28"/>
          <w:szCs w:val="28"/>
        </w:rPr>
        <w:t>СОБИНСКОГО РАЙОНА</w:t>
      </w:r>
    </w:p>
    <w:p w:rsidR="00915BA5" w:rsidRPr="00CC2137" w:rsidRDefault="00915BA5" w:rsidP="00915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BA5" w:rsidRPr="00B86C9F" w:rsidRDefault="00915BA5" w:rsidP="00915BA5">
      <w:pPr>
        <w:pStyle w:val="3"/>
        <w:rPr>
          <w:b w:val="0"/>
          <w:bCs w:val="0"/>
          <w:szCs w:val="28"/>
        </w:rPr>
      </w:pPr>
      <w:r w:rsidRPr="00B86C9F">
        <w:rPr>
          <w:b w:val="0"/>
          <w:bCs w:val="0"/>
          <w:szCs w:val="28"/>
        </w:rPr>
        <w:t>приказ</w:t>
      </w:r>
    </w:p>
    <w:p w:rsidR="00834652" w:rsidRDefault="00834652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</w:p>
    <w:p w:rsidR="00915BA5" w:rsidRDefault="00915BA5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6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3B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ab/>
      </w:r>
      <w:r w:rsidR="00CC2137">
        <w:rPr>
          <w:rFonts w:ascii="Times New Roman" w:hAnsi="Times New Roman" w:cs="Times New Roman"/>
          <w:sz w:val="28"/>
          <w:szCs w:val="28"/>
        </w:rPr>
        <w:t xml:space="preserve">      </w:t>
      </w:r>
      <w:r w:rsidR="00834652">
        <w:rPr>
          <w:rFonts w:ascii="Times New Roman" w:hAnsi="Times New Roman" w:cs="Times New Roman"/>
          <w:sz w:val="28"/>
          <w:szCs w:val="28"/>
        </w:rPr>
        <w:t xml:space="preserve">    </w:t>
      </w:r>
      <w:r w:rsidR="00CC21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3B99">
        <w:rPr>
          <w:rFonts w:ascii="Times New Roman" w:hAnsi="Times New Roman" w:cs="Times New Roman"/>
          <w:sz w:val="28"/>
          <w:szCs w:val="28"/>
        </w:rPr>
        <w:t>3</w:t>
      </w:r>
      <w:r w:rsidR="008E0763">
        <w:rPr>
          <w:rFonts w:ascii="Times New Roman" w:hAnsi="Times New Roman" w:cs="Times New Roman"/>
          <w:sz w:val="28"/>
          <w:szCs w:val="28"/>
        </w:rPr>
        <w:t>76</w:t>
      </w:r>
      <w:r w:rsidR="0007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BA5" w:rsidRDefault="00915BA5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15BA5" w:rsidRDefault="00CE3B99" w:rsidP="00915BA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 утверждении методики прогнозирования</w:t>
      </w:r>
    </w:p>
    <w:p w:rsidR="00CE3B99" w:rsidRDefault="00CE3B99" w:rsidP="00915BA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поступлений доходов в </w:t>
      </w:r>
      <w:r w:rsidR="002103C5">
        <w:rPr>
          <w:rFonts w:ascii="Times New Roman" w:hAnsi="Times New Roman" w:cs="Times New Roman"/>
          <w:i/>
        </w:rPr>
        <w:t xml:space="preserve">районный </w:t>
      </w:r>
      <w:r>
        <w:rPr>
          <w:rFonts w:ascii="Times New Roman" w:hAnsi="Times New Roman" w:cs="Times New Roman"/>
          <w:i/>
        </w:rPr>
        <w:t>бюджет</w:t>
      </w:r>
    </w:p>
    <w:p w:rsidR="00915BA5" w:rsidRDefault="00915BA5" w:rsidP="00915BA5">
      <w:pPr>
        <w:spacing w:after="0"/>
        <w:rPr>
          <w:rFonts w:ascii="Times New Roman" w:hAnsi="Times New Roman" w:cs="Times New Roman"/>
          <w:i/>
        </w:rPr>
      </w:pPr>
    </w:p>
    <w:p w:rsidR="00834652" w:rsidRDefault="00834652" w:rsidP="00915BA5">
      <w:pPr>
        <w:pStyle w:val="31"/>
        <w:spacing w:before="0" w:beforeAutospacing="0"/>
        <w:ind w:firstLine="709"/>
        <w:rPr>
          <w:caps/>
          <w:sz w:val="28"/>
          <w:szCs w:val="28"/>
        </w:rPr>
      </w:pPr>
    </w:p>
    <w:p w:rsidR="00834652" w:rsidRDefault="00834652" w:rsidP="00915BA5">
      <w:pPr>
        <w:pStyle w:val="31"/>
        <w:spacing w:before="0" w:beforeAutospacing="0"/>
        <w:ind w:firstLine="709"/>
        <w:rPr>
          <w:caps/>
          <w:sz w:val="28"/>
          <w:szCs w:val="28"/>
        </w:rPr>
      </w:pPr>
    </w:p>
    <w:p w:rsidR="00C25EC7" w:rsidRDefault="00C25EC7" w:rsidP="00C25EC7">
      <w:pPr>
        <w:pStyle w:val="31"/>
        <w:spacing w:before="0" w:beforeAutospacing="0"/>
        <w:ind w:firstLine="708"/>
        <w:rPr>
          <w:sz w:val="28"/>
          <w:szCs w:val="28"/>
        </w:rPr>
      </w:pPr>
      <w:r>
        <w:rPr>
          <w:cap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C25EC7" w:rsidRDefault="00C25EC7" w:rsidP="002103C5">
      <w:pPr>
        <w:pStyle w:val="31"/>
        <w:numPr>
          <w:ilvl w:val="0"/>
          <w:numId w:val="2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Утвердить методику поступлений доходов в </w:t>
      </w:r>
      <w:r w:rsidR="002103C5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 согласно приложению.</w:t>
      </w:r>
    </w:p>
    <w:p w:rsidR="0011544B" w:rsidRDefault="0011544B" w:rsidP="002103C5">
      <w:pPr>
        <w:pStyle w:val="31"/>
        <w:numPr>
          <w:ilvl w:val="0"/>
          <w:numId w:val="2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подлежит размещению в сети Интернет на официальном сайте управления образования администрации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района.</w:t>
      </w:r>
    </w:p>
    <w:p w:rsidR="00C25EC7" w:rsidRDefault="00C25EC7" w:rsidP="002103C5">
      <w:pPr>
        <w:pStyle w:val="31"/>
        <w:numPr>
          <w:ilvl w:val="0"/>
          <w:numId w:val="2"/>
        </w:numPr>
        <w:spacing w:before="0" w:before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заведующего отделом бюджетного учета и отчетности управления образования.</w:t>
      </w:r>
    </w:p>
    <w:p w:rsidR="00C25EC7" w:rsidRDefault="00C25EC7" w:rsidP="002103C5">
      <w:pPr>
        <w:pStyle w:val="31"/>
        <w:numPr>
          <w:ilvl w:val="0"/>
          <w:numId w:val="2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834652" w:rsidRDefault="00834652" w:rsidP="00915BA5">
      <w:pPr>
        <w:pStyle w:val="31"/>
        <w:spacing w:before="0" w:beforeAutospacing="0"/>
        <w:ind w:firstLine="709"/>
        <w:rPr>
          <w:caps/>
          <w:sz w:val="28"/>
          <w:szCs w:val="28"/>
        </w:rPr>
      </w:pPr>
    </w:p>
    <w:p w:rsidR="00CC2137" w:rsidRDefault="00CC2137" w:rsidP="00915BA5">
      <w:pPr>
        <w:pStyle w:val="31"/>
        <w:spacing w:before="0" w:beforeAutospacing="0"/>
        <w:ind w:firstLine="709"/>
        <w:rPr>
          <w:sz w:val="28"/>
          <w:szCs w:val="28"/>
        </w:rPr>
      </w:pPr>
    </w:p>
    <w:p w:rsidR="00915BA5" w:rsidRDefault="00834652" w:rsidP="00834652">
      <w:pPr>
        <w:pStyle w:val="31"/>
        <w:spacing w:before="0" w:beforeAutospacing="0"/>
        <w:ind w:hanging="540"/>
        <w:jc w:val="left"/>
      </w:pPr>
      <w:r>
        <w:rPr>
          <w:sz w:val="28"/>
          <w:szCs w:val="28"/>
        </w:rPr>
        <w:t xml:space="preserve">   </w:t>
      </w:r>
      <w:r w:rsidR="00915BA5">
        <w:rPr>
          <w:sz w:val="28"/>
          <w:szCs w:val="28"/>
        </w:rPr>
        <w:t xml:space="preserve">Начальник  управления                    </w:t>
      </w:r>
      <w:r w:rsidR="00CC2137">
        <w:rPr>
          <w:sz w:val="28"/>
          <w:szCs w:val="28"/>
        </w:rPr>
        <w:t xml:space="preserve">         </w:t>
      </w:r>
      <w:r w:rsidR="0091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915BA5">
        <w:rPr>
          <w:sz w:val="28"/>
          <w:szCs w:val="28"/>
        </w:rPr>
        <w:t xml:space="preserve">           Г.П. Гусева</w:t>
      </w:r>
    </w:p>
    <w:p w:rsidR="00A67F96" w:rsidRDefault="00A67F96"/>
    <w:p w:rsidR="002103C5" w:rsidRDefault="002103C5"/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line="240" w:lineRule="auto"/>
        <w:jc w:val="right"/>
        <w:rPr>
          <w:rFonts w:ascii="Times New Roman" w:hAnsi="Times New Roman" w:cs="Times New Roman"/>
        </w:rPr>
      </w:pPr>
    </w:p>
    <w:p w:rsidR="002103C5" w:rsidRDefault="002103C5" w:rsidP="002103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2103C5" w:rsidRDefault="002103C5" w:rsidP="002103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</w:t>
      </w:r>
    </w:p>
    <w:p w:rsidR="002103C5" w:rsidRDefault="002103C5" w:rsidP="002103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E076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.08.2016 № </w:t>
      </w:r>
      <w:r w:rsidR="008E0763">
        <w:rPr>
          <w:rFonts w:ascii="Times New Roman" w:hAnsi="Times New Roman" w:cs="Times New Roman"/>
        </w:rPr>
        <w:t>376</w:t>
      </w:r>
    </w:p>
    <w:p w:rsidR="002103C5" w:rsidRDefault="002103C5" w:rsidP="002103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03C5" w:rsidRPr="002103C5" w:rsidRDefault="002103C5" w:rsidP="0021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3C5">
        <w:rPr>
          <w:rFonts w:ascii="Times New Roman" w:hAnsi="Times New Roman" w:cs="Times New Roman"/>
          <w:sz w:val="28"/>
          <w:szCs w:val="28"/>
        </w:rPr>
        <w:t>Методика</w:t>
      </w:r>
    </w:p>
    <w:p w:rsidR="002103C5" w:rsidRDefault="002103C5" w:rsidP="0021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3C5">
        <w:rPr>
          <w:rFonts w:ascii="Times New Roman" w:hAnsi="Times New Roman" w:cs="Times New Roman"/>
          <w:sz w:val="28"/>
          <w:szCs w:val="28"/>
        </w:rPr>
        <w:t xml:space="preserve">прогнозирования поступления доходов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2103C5">
        <w:rPr>
          <w:rFonts w:ascii="Times New Roman" w:hAnsi="Times New Roman" w:cs="Times New Roman"/>
          <w:sz w:val="28"/>
          <w:szCs w:val="28"/>
        </w:rPr>
        <w:t>бюджет</w:t>
      </w:r>
    </w:p>
    <w:p w:rsidR="002103C5" w:rsidRDefault="002103C5" w:rsidP="0021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C5" w:rsidRPr="008E0763" w:rsidRDefault="008E0763" w:rsidP="008E076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03C5" w:rsidRPr="008E0763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параметры прогнозирования поступлений доходов в районный бюджет (далее – методика прогнозирования), главным администратором которых является управление образования администрации </w:t>
      </w:r>
      <w:proofErr w:type="spellStart"/>
      <w:r w:rsidR="002103C5" w:rsidRPr="008E0763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2103C5" w:rsidRPr="008E0763">
        <w:rPr>
          <w:rFonts w:ascii="Times New Roman" w:hAnsi="Times New Roman" w:cs="Times New Roman"/>
          <w:sz w:val="28"/>
          <w:szCs w:val="28"/>
        </w:rPr>
        <w:t xml:space="preserve"> района (далее – главный администратор).</w:t>
      </w:r>
    </w:p>
    <w:p w:rsidR="002103C5" w:rsidRPr="008E0763" w:rsidRDefault="008E0763" w:rsidP="008E076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03C5" w:rsidRPr="008E0763">
        <w:rPr>
          <w:rFonts w:ascii="Times New Roman" w:hAnsi="Times New Roman" w:cs="Times New Roman"/>
          <w:sz w:val="28"/>
          <w:szCs w:val="28"/>
        </w:rPr>
        <w:t>Перечень доходов районного бюджета, закрепленных за главным администратором:</w:t>
      </w:r>
    </w:p>
    <w:p w:rsidR="002103C5" w:rsidRDefault="002103C5" w:rsidP="002103C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16"/>
        <w:gridCol w:w="2977"/>
        <w:gridCol w:w="5452"/>
        <w:gridCol w:w="15"/>
      </w:tblGrid>
      <w:tr w:rsidR="002103C5" w:rsidRPr="002103C5" w:rsidTr="002103C5">
        <w:tc>
          <w:tcPr>
            <w:tcW w:w="4395" w:type="dxa"/>
            <w:gridSpan w:val="3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467" w:type="dxa"/>
            <w:gridSpan w:val="2"/>
            <w:vMerge w:val="restart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3C5" w:rsidRPr="002103C5" w:rsidRDefault="002103C5" w:rsidP="0021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 районного бюджета</w:t>
            </w:r>
          </w:p>
        </w:tc>
      </w:tr>
      <w:tr w:rsidR="002103C5" w:rsidRPr="002103C5" w:rsidTr="002103C5">
        <w:tc>
          <w:tcPr>
            <w:tcW w:w="1402" w:type="dxa"/>
          </w:tcPr>
          <w:p w:rsidR="002103C5" w:rsidRPr="002103C5" w:rsidRDefault="002103C5" w:rsidP="00210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3C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Главного</w:t>
            </w:r>
          </w:p>
          <w:p w:rsidR="002103C5" w:rsidRPr="002103C5" w:rsidRDefault="002103C5" w:rsidP="00210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103C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2103C5" w:rsidRPr="002103C5" w:rsidRDefault="002103C5" w:rsidP="00210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103C5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стратора</w:t>
            </w:r>
            <w:proofErr w:type="spellEnd"/>
          </w:p>
          <w:p w:rsidR="002103C5" w:rsidRPr="002103C5" w:rsidRDefault="002103C5" w:rsidP="00210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  <w:tc>
          <w:tcPr>
            <w:tcW w:w="2993" w:type="dxa"/>
            <w:gridSpan w:val="2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Доходов местного</w:t>
            </w:r>
          </w:p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5467" w:type="dxa"/>
            <w:gridSpan w:val="2"/>
            <w:vMerge/>
          </w:tcPr>
          <w:p w:rsidR="002103C5" w:rsidRPr="002103C5" w:rsidRDefault="002103C5" w:rsidP="0021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1 13 02065 05 0000 130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1 16 33050 05 0000140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2 02 02051 05 0000 151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2 02 02077 05 0000 151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капитальных вложений в объекты 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государственной (муниципальной) собственности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2 02 02204 05 0000 151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2 02 02215 05 0000 151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2 02 02999 05 7046 151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(Прочие субсидии бюджетам муниципальных районов на </w:t>
            </w:r>
            <w:proofErr w:type="spell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расходных обязательств, возникающих при доведении средней заработной платы педагогических работников муниципальных образовательных организаций дополнительного образования детей до уровня, установленного Указом Президента Российской Федерации от 01 июня 2012 года №761)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2 02 02999 05 7050 151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(Прочие субсидии бюджетам муниципальных районов на </w:t>
            </w:r>
            <w:proofErr w:type="spell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оздоровлению детей в каникулярное время)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2 02 02999 05 7051 151</w:t>
            </w:r>
          </w:p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 (Прочие субсидии бюджетам муниципальных районов на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организациях, в частных общеобразовательных организациях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2 02 02999 05 7059 151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(Прочие субсидии бюджетам муниципальных районов на предоставление компенсации расходов на оплату жилых помещений, отопления и освещения отдельным категориям граждан в сфере образования)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pStyle w:val="ConsPlusNonformat"/>
              <w:ind w:righ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hAnsi="Times New Roman" w:cs="Times New Roman"/>
                <w:sz w:val="28"/>
                <w:szCs w:val="28"/>
              </w:rPr>
              <w:t>2 02 02999 05 7085 151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(Прочие субсидии на </w:t>
            </w:r>
            <w:proofErr w:type="spell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капитального ремонта объектов муниципальной собственности)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pStyle w:val="ConsPlusNonformat"/>
              <w:ind w:righ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hAnsi="Times New Roman" w:cs="Times New Roman"/>
                <w:sz w:val="28"/>
                <w:szCs w:val="28"/>
              </w:rPr>
              <w:t>2 02 02999 05 7127 151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 (Прочие субсидии бюджетам муниципальных районов на установку систем безопасности в учреждениях образования, культуры)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pStyle w:val="ConsPlusNonformat"/>
              <w:ind w:righ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hAnsi="Times New Roman" w:cs="Times New Roman"/>
                <w:sz w:val="28"/>
                <w:szCs w:val="28"/>
              </w:rPr>
              <w:t>2 02 02999 05 7130 151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 (Прочие субсидии бюджетам муниципальных районов на строительство и оборудование спортивных площадок в муниципальных образованиях)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2 02 03024 05 6007 151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субъектов Российской Федерации (Субвенции бюджетам муниципальных районов на обеспечение полномочий по организации и осуществлению деятельности по опеке и попечительству в отношении несовершеннолетних граждан)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2 02 03024 05 6054 151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муниципальных районов на социальную поддержку детей-инвалидов дошкольного возраста)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2 02 03027 05 0000 151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2 02 03029 05 0000 151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2 02 03119 05 0000 151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лицам из их числа по договорам найма специализированных жилых помещений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2 02 03999 05 6047 151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субвенции бюджетам муниципальных районов (Прочие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2 02 03999 05 6049 151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муниципальных районов (Прочие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3C5" w:rsidRPr="002103C5" w:rsidRDefault="002103C5" w:rsidP="002103C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2 02 04999 05 8050 151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(Прочие межбюджетные трансферты, передаваемые бюджетам муниципальных районов на </w:t>
            </w:r>
            <w:proofErr w:type="spellStart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оздоровлению детей в каникулярное время)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2 02 04999 05 8052 151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 (Прочие межбюджетные трансферты, передаваемые бюджетам муниципальных районов на государственную поддержку общеобразовательных организаций Владимирской области, внедряющих инновационные образовательные программы)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2 02 04999 05 8063 151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муниципальных районов (Прочие межбюджетные трансферты, передаваемые бюджетам муниципальных образований на </w:t>
            </w: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реализацию проектов-победителей конкурсов в сфере молодежной политики)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2 02 04999 05 8088 151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 (Прочие межбюджетные трансферты, передаваемые бюджетам муниципальных районов на поощрение лучших учителей – лауреатов областного конкурса)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2 02 04999 05 8096 151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 (Прочие межбюджетные трансферты, передаваемые на оснащение пунктов проведения экзаменов системами видеонаблюдения при проведении государственной итоговой аттестации по образовательным программам среднего общего образования)</w:t>
            </w:r>
          </w:p>
        </w:tc>
      </w:tr>
      <w:tr w:rsidR="0011544B" w:rsidRPr="0011544B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4B" w:rsidRPr="0011544B" w:rsidRDefault="0011544B" w:rsidP="0011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4B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4B" w:rsidRPr="0011544B" w:rsidRDefault="0011544B" w:rsidP="001154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4B">
              <w:rPr>
                <w:rFonts w:ascii="Times New Roman" w:hAnsi="Times New Roman" w:cs="Times New Roman"/>
                <w:sz w:val="28"/>
                <w:szCs w:val="28"/>
              </w:rPr>
              <w:t>2 02 04999 05 8117 151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4B" w:rsidRPr="0011544B" w:rsidRDefault="0011544B" w:rsidP="0011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4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(Прочие межбюджетные трансферты, передаваемые бюджетам муниципальных образований на приобретение транспортных средств для подвоза обучающихся сельских школ</w:t>
            </w:r>
            <w:proofErr w:type="gramStart"/>
            <w:r w:rsidRPr="0011544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11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2 18 05010 05 0000 180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103C5" w:rsidRPr="002103C5" w:rsidTr="0021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5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2 19 05000 05 0000 151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C5" w:rsidRPr="002103C5" w:rsidRDefault="002103C5" w:rsidP="0021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3C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103C5" w:rsidRDefault="002103C5" w:rsidP="002103C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11DAC" w:rsidRPr="008E0763" w:rsidRDefault="008E0763" w:rsidP="008E076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1DAC" w:rsidRPr="008E0763">
        <w:rPr>
          <w:rFonts w:ascii="Times New Roman" w:hAnsi="Times New Roman" w:cs="Times New Roman"/>
          <w:sz w:val="28"/>
          <w:szCs w:val="28"/>
        </w:rPr>
        <w:t>Расчет прогнозируемого объема поступлений осуществляется в следующем порядке:</w:t>
      </w:r>
    </w:p>
    <w:p w:rsidR="00211DAC" w:rsidRPr="008E0763" w:rsidRDefault="008E0763" w:rsidP="008E076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3.1. </w:t>
      </w:r>
      <w:r w:rsidR="00707210" w:rsidRPr="008E0763">
        <w:rPr>
          <w:rFonts w:ascii="Times New Roman" w:eastAsia="Times New Roman" w:hAnsi="Times New Roman" w:cs="Times New Roman"/>
          <w:sz w:val="28"/>
          <w:szCs w:val="28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</w:r>
      <w:r w:rsidR="00211DAC" w:rsidRPr="008E0763">
        <w:rPr>
          <w:rFonts w:ascii="Times New Roman" w:hAnsi="Times New Roman" w:cs="Times New Roman"/>
          <w:sz w:val="28"/>
          <w:szCs w:val="28"/>
        </w:rPr>
        <w:t>:</w:t>
      </w:r>
    </w:p>
    <w:p w:rsidR="00707210" w:rsidRPr="00707210" w:rsidRDefault="008E0763" w:rsidP="008E076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210" w:rsidRPr="00707210">
        <w:rPr>
          <w:rFonts w:ascii="Times New Roman" w:hAnsi="Times New Roman" w:cs="Times New Roman"/>
          <w:sz w:val="28"/>
          <w:szCs w:val="28"/>
        </w:rPr>
        <w:t>3.1.1.</w:t>
      </w:r>
      <w:r w:rsidR="00707210" w:rsidRPr="00707210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метод усреднения;</w:t>
      </w:r>
    </w:p>
    <w:p w:rsidR="00707210" w:rsidRPr="00707210" w:rsidRDefault="00707210" w:rsidP="00707210">
      <w:pPr>
        <w:pStyle w:val="a7"/>
        <w:ind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10">
        <w:rPr>
          <w:rFonts w:ascii="Times New Roman" w:hAnsi="Times New Roman" w:cs="Times New Roman"/>
          <w:sz w:val="28"/>
          <w:szCs w:val="28"/>
        </w:rPr>
        <w:t xml:space="preserve">3.1.2. 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для расчета прогнозируемого объема поступлений учитываются: </w:t>
      </w:r>
    </w:p>
    <w:p w:rsidR="00707210" w:rsidRPr="00707210" w:rsidRDefault="00707210" w:rsidP="0070721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- суммы поступлений денежных взысканий (штрафов) за нарушение </w:t>
      </w:r>
      <w:r w:rsidRPr="002103C5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три года;</w:t>
      </w:r>
    </w:p>
    <w:p w:rsidR="00707210" w:rsidRPr="00707210" w:rsidRDefault="00707210" w:rsidP="00707210">
      <w:pPr>
        <w:pStyle w:val="a7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10">
        <w:rPr>
          <w:rFonts w:ascii="Times New Roman" w:hAnsi="Times New Roman" w:cs="Times New Roman"/>
          <w:sz w:val="28"/>
          <w:szCs w:val="28"/>
        </w:rPr>
        <w:lastRenderedPageBreak/>
        <w:t xml:space="preserve">3.1.3. 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>формула расчета:</w:t>
      </w:r>
    </w:p>
    <w:p w:rsidR="00707210" w:rsidRPr="00707210" w:rsidRDefault="00707210" w:rsidP="00707210">
      <w:pPr>
        <w:pStyle w:val="a7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210">
        <w:rPr>
          <w:rFonts w:ascii="Times New Roman" w:eastAsia="Times New Roman" w:hAnsi="Times New Roman" w:cs="Times New Roman"/>
          <w:sz w:val="28"/>
          <w:szCs w:val="28"/>
        </w:rPr>
        <w:t>Двз</w:t>
      </w:r>
      <w:proofErr w:type="spellEnd"/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= ∑</w:t>
      </w:r>
      <w:proofErr w:type="spellStart"/>
      <w:r w:rsidRPr="00707210">
        <w:rPr>
          <w:rFonts w:ascii="Times New Roman" w:eastAsia="Times New Roman" w:hAnsi="Times New Roman" w:cs="Times New Roman"/>
          <w:sz w:val="28"/>
          <w:szCs w:val="28"/>
        </w:rPr>
        <w:t>Двз</w:t>
      </w:r>
      <w:proofErr w:type="gramStart"/>
      <w:r w:rsidRPr="007072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707210">
        <w:rPr>
          <w:rFonts w:ascii="Times New Roman" w:eastAsia="Times New Roman" w:hAnsi="Times New Roman" w:cs="Times New Roman"/>
          <w:sz w:val="28"/>
          <w:szCs w:val="28"/>
        </w:rPr>
        <w:t>/3, где</w:t>
      </w:r>
    </w:p>
    <w:p w:rsidR="00707210" w:rsidRPr="00707210" w:rsidRDefault="00707210" w:rsidP="0070721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210">
        <w:rPr>
          <w:rFonts w:ascii="Times New Roman" w:eastAsia="Times New Roman" w:hAnsi="Times New Roman" w:cs="Times New Roman"/>
          <w:sz w:val="28"/>
          <w:szCs w:val="28"/>
        </w:rPr>
        <w:t>Двз</w:t>
      </w:r>
      <w:proofErr w:type="spellEnd"/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– прогнозируемые денежные взыскания (штрафы) за нарушение </w:t>
      </w:r>
      <w:r w:rsidR="008E0763" w:rsidRPr="002103C5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0763" w:rsidRDefault="00707210" w:rsidP="00707210">
      <w:pPr>
        <w:spacing w:after="0" w:line="240" w:lineRule="auto"/>
        <w:ind w:left="283" w:firstLine="708"/>
        <w:jc w:val="both"/>
        <w:rPr>
          <w:szCs w:val="28"/>
        </w:rPr>
      </w:pPr>
      <w:proofErr w:type="spellStart"/>
      <w:r w:rsidRPr="00707210">
        <w:rPr>
          <w:rFonts w:ascii="Times New Roman" w:eastAsia="Times New Roman" w:hAnsi="Times New Roman" w:cs="Times New Roman"/>
          <w:sz w:val="28"/>
          <w:szCs w:val="28"/>
        </w:rPr>
        <w:t>Двз</w:t>
      </w:r>
      <w:proofErr w:type="gramStart"/>
      <w:r w:rsidRPr="007072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- поступления денежных взысканий (штрафов) за нарушение </w:t>
      </w:r>
      <w:r w:rsidR="008E0763" w:rsidRPr="002103C5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072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– том году (в расчет принимаются показатели за последние три года до текущего финансового года)</w:t>
      </w:r>
      <w:r w:rsidRPr="00707210">
        <w:rPr>
          <w:rFonts w:ascii="Calibri" w:eastAsia="Times New Roman" w:hAnsi="Calibri" w:cs="Times New Roman"/>
          <w:szCs w:val="28"/>
        </w:rPr>
        <w:t>.</w:t>
      </w:r>
    </w:p>
    <w:p w:rsidR="00707210" w:rsidRPr="00707210" w:rsidRDefault="00707210" w:rsidP="008E0763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10">
        <w:rPr>
          <w:rFonts w:ascii="Times New Roman" w:hAnsi="Times New Roman" w:cs="Times New Roman"/>
          <w:sz w:val="28"/>
          <w:szCs w:val="28"/>
        </w:rPr>
        <w:t xml:space="preserve">4. 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>Отдельные виды неналоговых доходов относятся к категории не поддающихся объективному прогнозированию, по данным источникам плановые показатели формируются по факту поступления.</w:t>
      </w:r>
    </w:p>
    <w:p w:rsidR="00707210" w:rsidRPr="00707210" w:rsidRDefault="00707210" w:rsidP="008E0763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10">
        <w:rPr>
          <w:rFonts w:ascii="Times New Roman" w:eastAsia="Times New Roman" w:hAnsi="Times New Roman" w:cs="Times New Roman"/>
          <w:sz w:val="28"/>
          <w:szCs w:val="28"/>
        </w:rPr>
        <w:t>5. Объём безвозмездных поступлений бюджет</w:t>
      </w:r>
      <w:r w:rsidR="001D2CA0">
        <w:rPr>
          <w:rFonts w:ascii="Times New Roman" w:hAnsi="Times New Roman" w:cs="Times New Roman"/>
          <w:sz w:val="28"/>
          <w:szCs w:val="28"/>
        </w:rPr>
        <w:t>у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CA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на основании  ожидаемого объема расходов </w:t>
      </w:r>
      <w:r w:rsidR="001D2CA0">
        <w:rPr>
          <w:rFonts w:ascii="Times New Roman" w:hAnsi="Times New Roman" w:cs="Times New Roman"/>
          <w:sz w:val="28"/>
          <w:szCs w:val="28"/>
        </w:rPr>
        <w:t>областного</w:t>
      </w: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707210" w:rsidRDefault="00707210" w:rsidP="008E0763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1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D2CA0" w:rsidRPr="002103C5">
        <w:rPr>
          <w:rFonts w:ascii="Times New Roman" w:eastAsia="Times New Roman" w:hAnsi="Times New Roman" w:cs="Times New Roman"/>
          <w:sz w:val="28"/>
          <w:szCs w:val="28"/>
        </w:rPr>
        <w:t>Доходы бюджетов муниципальных районов от возврата бюджетными учреждениями остатков субсидий прошлых лет</w:t>
      </w:r>
      <w:r w:rsidRPr="0070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составлении прогноза бюджета на очередной финансовый год и плановый период не планируются.</w:t>
      </w: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                                                 Г.П.Гусева</w:t>
      </w: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CA0" w:rsidRDefault="001D2CA0" w:rsidP="00707210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10" w:rsidRPr="00707210" w:rsidRDefault="00707210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707210" w:rsidRPr="00707210" w:rsidSect="00CC213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8F5"/>
    <w:multiLevelType w:val="hybridMultilevel"/>
    <w:tmpl w:val="63B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">
    <w:nsid w:val="38CB1048"/>
    <w:multiLevelType w:val="hybridMultilevel"/>
    <w:tmpl w:val="D9C29C6E"/>
    <w:lvl w:ilvl="0" w:tplc="46BAD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8422F"/>
    <w:multiLevelType w:val="multilevel"/>
    <w:tmpl w:val="70583A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A5"/>
    <w:rsid w:val="00073C3B"/>
    <w:rsid w:val="000A0721"/>
    <w:rsid w:val="000A7493"/>
    <w:rsid w:val="0011544B"/>
    <w:rsid w:val="001A692B"/>
    <w:rsid w:val="001D2CA0"/>
    <w:rsid w:val="002103C5"/>
    <w:rsid w:val="00211DAC"/>
    <w:rsid w:val="0024682F"/>
    <w:rsid w:val="00270666"/>
    <w:rsid w:val="003D3158"/>
    <w:rsid w:val="003D39AF"/>
    <w:rsid w:val="004972DC"/>
    <w:rsid w:val="005012E9"/>
    <w:rsid w:val="005F2576"/>
    <w:rsid w:val="00654683"/>
    <w:rsid w:val="00707210"/>
    <w:rsid w:val="007C603B"/>
    <w:rsid w:val="00811069"/>
    <w:rsid w:val="00834652"/>
    <w:rsid w:val="008E0763"/>
    <w:rsid w:val="00905423"/>
    <w:rsid w:val="00915BA5"/>
    <w:rsid w:val="009E0F5C"/>
    <w:rsid w:val="00A374A5"/>
    <w:rsid w:val="00A67F96"/>
    <w:rsid w:val="00A7006D"/>
    <w:rsid w:val="00B86C9F"/>
    <w:rsid w:val="00BD1265"/>
    <w:rsid w:val="00C25EC7"/>
    <w:rsid w:val="00C67C02"/>
    <w:rsid w:val="00CC2137"/>
    <w:rsid w:val="00CE3B99"/>
    <w:rsid w:val="00D01D98"/>
    <w:rsid w:val="00D45BBE"/>
    <w:rsid w:val="00DD0BF2"/>
    <w:rsid w:val="00EB429B"/>
    <w:rsid w:val="00F62ED9"/>
    <w:rsid w:val="00F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76"/>
  </w:style>
  <w:style w:type="paragraph" w:styleId="2">
    <w:name w:val="heading 2"/>
    <w:basedOn w:val="a"/>
    <w:next w:val="a"/>
    <w:link w:val="20"/>
    <w:semiHidden/>
    <w:unhideWhenUsed/>
    <w:qFormat/>
    <w:rsid w:val="00915BA5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5B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5BA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915BA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915BA5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15B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5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103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72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7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Kustova_A</cp:lastModifiedBy>
  <cp:revision>2</cp:revision>
  <cp:lastPrinted>2016-09-05T08:09:00Z</cp:lastPrinted>
  <dcterms:created xsi:type="dcterms:W3CDTF">2016-09-07T11:10:00Z</dcterms:created>
  <dcterms:modified xsi:type="dcterms:W3CDTF">2016-09-07T11:10:00Z</dcterms:modified>
</cp:coreProperties>
</file>